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196BC" w14:textId="3E31BDE5" w:rsidR="0037306B" w:rsidRPr="00D60A8B" w:rsidRDefault="0037306B" w:rsidP="0037306B">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547926" w:rsidRPr="00547926">
        <w:rPr>
          <w:rFonts w:ascii="Arial" w:hAnsi="Arial" w:cs="Arial"/>
          <w:sz w:val="22"/>
          <w:lang w:val="en-US"/>
        </w:rPr>
        <w:t>R2-1906214</w:t>
      </w:r>
    </w:p>
    <w:p w14:paraId="23C07647" w14:textId="199C0989" w:rsidR="0037306B" w:rsidRDefault="0037306B" w:rsidP="0037306B">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w:t>
      </w:r>
    </w:p>
    <w:p w14:paraId="1DC49D96" w14:textId="77777777" w:rsidR="0037306B" w:rsidRDefault="0037306B" w:rsidP="0001045F">
      <w:pPr>
        <w:pStyle w:val="3GPPHeader"/>
        <w:spacing w:after="0"/>
        <w:rPr>
          <w:rFonts w:ascii="Arial" w:hAnsi="Arial" w:cs="Arial"/>
          <w:sz w:val="22"/>
          <w:lang w:val="en-US"/>
        </w:rPr>
      </w:pP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03765D87"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A3BF7">
        <w:rPr>
          <w:rFonts w:ascii="Arial" w:hAnsi="Arial" w:cs="Arial"/>
          <w:b w:val="0"/>
          <w:sz w:val="22"/>
          <w:lang w:val="en-US"/>
        </w:rPr>
        <w:t>11.9</w:t>
      </w:r>
      <w:r w:rsidR="00160B7F">
        <w:rPr>
          <w:rFonts w:ascii="Arial" w:hAnsi="Arial" w:cs="Arial"/>
          <w:b w:val="0"/>
          <w:sz w:val="22"/>
          <w:lang w:val="en-US"/>
        </w:rPr>
        <w:t>.3</w:t>
      </w:r>
      <w:r w:rsidR="008A3BF7">
        <w:rPr>
          <w:rFonts w:ascii="Arial" w:hAnsi="Arial" w:cs="Arial"/>
          <w:b w:val="0"/>
          <w:sz w:val="22"/>
          <w:lang w:val="en-US"/>
        </w:rPr>
        <w:t>.1</w:t>
      </w:r>
      <w:r w:rsidR="00C35040">
        <w:rPr>
          <w:rFonts w:ascii="Arial" w:hAnsi="Arial" w:cs="Arial"/>
          <w:b w:val="0"/>
          <w:sz w:val="22"/>
          <w:lang w:val="en-US"/>
        </w:rPr>
        <w:t xml:space="preserve"> </w:t>
      </w:r>
      <w:r w:rsidR="008A3BF7">
        <w:rPr>
          <w:rFonts w:ascii="Arial" w:hAnsi="Arial" w:cs="Arial"/>
          <w:b w:val="0"/>
          <w:sz w:val="22"/>
          <w:lang w:val="en-US"/>
        </w:rPr>
        <w:t>Conditional handover</w:t>
      </w:r>
      <w:bookmarkStart w:id="0" w:name="_GoBack"/>
      <w:bookmarkEnd w:id="0"/>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7ED818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56C12">
        <w:rPr>
          <w:rFonts w:ascii="Arial" w:hAnsi="Arial" w:cs="Arial"/>
          <w:b w:val="0"/>
          <w:sz w:val="22"/>
          <w:lang w:val="en-US"/>
        </w:rPr>
        <w:t>Handling of a HO command</w:t>
      </w:r>
      <w:r w:rsidR="00DD1679">
        <w:rPr>
          <w:rFonts w:ascii="Arial" w:hAnsi="Arial" w:cs="Arial"/>
          <w:b w:val="0"/>
          <w:sz w:val="22"/>
          <w:lang w:val="en-US"/>
        </w:rPr>
        <w:t xml:space="preserve"> while UE is monitoring</w:t>
      </w:r>
      <w:r w:rsidR="004B6A12">
        <w:rPr>
          <w:rFonts w:ascii="Arial" w:hAnsi="Arial" w:cs="Arial"/>
          <w:b w:val="0"/>
          <w:sz w:val="22"/>
          <w:lang w:val="en-US"/>
        </w:rPr>
        <w:t xml:space="preserve"> </w:t>
      </w:r>
      <w:r w:rsidR="00DD1679">
        <w:rPr>
          <w:rFonts w:ascii="Arial" w:hAnsi="Arial" w:cs="Arial"/>
          <w:b w:val="0"/>
          <w:sz w:val="22"/>
          <w:lang w:val="en-US"/>
        </w:rPr>
        <w:t xml:space="preserve">CHO </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7984353A" w14:textId="1AAA914A" w:rsidR="00DD1679" w:rsidRDefault="00F161DB" w:rsidP="00E54EFD">
      <w:bookmarkStart w:id="1" w:name="_Toc242573354"/>
      <w:r>
        <w:t xml:space="preserve">In the work item for </w:t>
      </w:r>
      <w:r w:rsidR="00F660E9">
        <w:t>NR</w:t>
      </w:r>
      <w:r>
        <w:t xml:space="preserve"> Mobility Enhancements </w:t>
      </w:r>
      <w:r w:rsidR="002C45B4">
        <w:fldChar w:fldCharType="begin"/>
      </w:r>
      <w:r w:rsidR="002C45B4">
        <w:instrText xml:space="preserve"> REF _Ref524694582 \r \h </w:instrText>
      </w:r>
      <w:r w:rsidR="002C45B4">
        <w:fldChar w:fldCharType="separate"/>
      </w:r>
      <w:r w:rsidR="00F845CF">
        <w:t>[1]</w:t>
      </w:r>
      <w:r w:rsidR="002C45B4">
        <w:fldChar w:fldCharType="end"/>
      </w:r>
      <w:r>
        <w:t xml:space="preserve">, </w:t>
      </w:r>
      <w:r w:rsidR="002C45B4">
        <w:t xml:space="preserve">one objective is </w:t>
      </w:r>
      <w:r>
        <w:t>to improve the robustness at handover</w:t>
      </w:r>
      <w:r w:rsidR="00774C69">
        <w:t>.</w:t>
      </w:r>
      <w:r w:rsidR="002C45B4">
        <w:t xml:space="preserve"> </w:t>
      </w:r>
      <w:r w:rsidR="00DD1679">
        <w:t>In RAN2#105bis the CHO has been agreed to be supported in NR.</w:t>
      </w:r>
    </w:p>
    <w:p w14:paraId="7591D969" w14:textId="58A9AB6B" w:rsidR="006C0360" w:rsidRPr="00372D01" w:rsidRDefault="00E54EFD" w:rsidP="00E54EFD">
      <w:pPr>
        <w:rPr>
          <w:lang w:val="en-GB"/>
        </w:rPr>
      </w:pPr>
      <w:r>
        <w:rPr>
          <w:lang w:val="en-GB"/>
        </w:rPr>
        <w:t xml:space="preserve">In this contribution </w:t>
      </w:r>
      <w:r w:rsidR="00DD1679">
        <w:rPr>
          <w:lang w:val="en-GB"/>
        </w:rPr>
        <w:t xml:space="preserve">we discuss the handling of </w:t>
      </w:r>
      <w:r w:rsidR="000C44E4">
        <w:rPr>
          <w:lang w:val="en-GB"/>
        </w:rPr>
        <w:t xml:space="preserve">a HO command </w:t>
      </w:r>
      <w:r w:rsidR="00DD1679">
        <w:rPr>
          <w:lang w:val="en-GB"/>
        </w:rPr>
        <w:t>while the UE is monitoring CHO.</w:t>
      </w:r>
    </w:p>
    <w:p w14:paraId="487CD5E1" w14:textId="77777777" w:rsidR="005652F6" w:rsidRDefault="009D725A" w:rsidP="000C4E17">
      <w:pPr>
        <w:pStyle w:val="Heading1"/>
      </w:pPr>
      <w:r>
        <w:t>Discussion</w:t>
      </w:r>
      <w:bookmarkEnd w:id="1"/>
    </w:p>
    <w:p w14:paraId="7825E862" w14:textId="77777777" w:rsidR="00426B6F" w:rsidRDefault="00536D3C" w:rsidP="008B338C">
      <w:pPr>
        <w:pStyle w:val="Heading2"/>
      </w:pPr>
      <w:r>
        <w:t>Conditional Handover</w:t>
      </w:r>
    </w:p>
    <w:p w14:paraId="5D012B05" w14:textId="3903658D" w:rsidR="00160B7F" w:rsidRPr="004F3158" w:rsidRDefault="003B7B3A" w:rsidP="00160B7F">
      <w:pPr>
        <w:rPr>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is sent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 xml:space="preserve">basic </w:t>
      </w:r>
      <w:r w:rsidR="00AB0B3E">
        <w:rPr>
          <w:lang w:val="en-GB" w:eastAsia="zh-CN"/>
        </w:rPr>
        <w:t>procedure for conditional handover is shown in Figure 1</w:t>
      </w:r>
      <w:r w:rsidR="00044C69">
        <w:rPr>
          <w:lang w:val="en-GB" w:eastAsia="zh-CN"/>
        </w:rPr>
        <w:t>.</w:t>
      </w:r>
    </w:p>
    <w:p w14:paraId="1C3BE753" w14:textId="77777777" w:rsidR="004F3158" w:rsidRDefault="004F3158" w:rsidP="00372D01">
      <w:pPr>
        <w:keepNext/>
        <w:jc w:val="center"/>
      </w:pPr>
      <w:r>
        <w:rPr>
          <w:noProof/>
          <w:lang w:val="en-GB" w:eastAsia="zh-CN"/>
        </w:rPr>
        <w:drawing>
          <wp:inline distT="0" distB="0" distL="0" distR="0" wp14:anchorId="688F90FD" wp14:editId="58EDB85C">
            <wp:extent cx="4444878" cy="2685532"/>
            <wp:effectExtent l="0" t="0" r="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7368" cy="2741413"/>
                    </a:xfrm>
                    <a:prstGeom prst="rect">
                      <a:avLst/>
                    </a:prstGeom>
                    <a:noFill/>
                  </pic:spPr>
                </pic:pic>
              </a:graphicData>
            </a:graphic>
          </wp:inline>
        </w:drawing>
      </w:r>
    </w:p>
    <w:p w14:paraId="596C5DFD" w14:textId="64807BCD" w:rsidR="00044C69" w:rsidRDefault="004F3158" w:rsidP="004F3158">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CHO procedure</w:t>
      </w:r>
    </w:p>
    <w:p w14:paraId="6B62E7C8" w14:textId="77777777" w:rsidR="00B3291E" w:rsidRDefault="00E853FC" w:rsidP="00E853FC">
      <w:pPr>
        <w:rPr>
          <w:lang w:val="en-GB" w:eastAsia="zh-CN"/>
        </w:rPr>
      </w:pPr>
      <w:r>
        <w:rPr>
          <w:lang w:val="en-GB" w:eastAsia="zh-CN"/>
        </w:rPr>
        <w:t xml:space="preserve">Configuration of conditional handover is discussed in </w:t>
      </w:r>
      <w:r>
        <w:rPr>
          <w:lang w:val="en-GB" w:eastAsia="zh-CN"/>
        </w:rPr>
        <w:fldChar w:fldCharType="begin"/>
      </w:r>
      <w:r>
        <w:rPr>
          <w:lang w:val="en-GB" w:eastAsia="zh-CN"/>
        </w:rPr>
        <w:instrText xml:space="preserve"> REF _Ref536781318 \r \h </w:instrText>
      </w:r>
      <w:r>
        <w:rPr>
          <w:lang w:val="en-GB" w:eastAsia="zh-CN"/>
        </w:rPr>
      </w:r>
      <w:r>
        <w:rPr>
          <w:lang w:val="en-GB" w:eastAsia="zh-CN"/>
        </w:rPr>
        <w:fldChar w:fldCharType="separate"/>
      </w:r>
      <w:r w:rsidR="00F845CF">
        <w:rPr>
          <w:lang w:val="en-GB" w:eastAsia="zh-CN"/>
        </w:rPr>
        <w:t>[2]</w:t>
      </w:r>
      <w:r>
        <w:rPr>
          <w:lang w:val="en-GB" w:eastAsia="zh-CN"/>
        </w:rPr>
        <w:fldChar w:fldCharType="end"/>
      </w:r>
      <w:r w:rsidR="00214013">
        <w:rPr>
          <w:lang w:val="en-GB" w:eastAsia="zh-CN"/>
        </w:rPr>
        <w:t xml:space="preserve">. </w:t>
      </w:r>
    </w:p>
    <w:p w14:paraId="3D817286" w14:textId="5C83CD99" w:rsidR="007A5469" w:rsidRDefault="007A5469" w:rsidP="00051A6E">
      <w:pPr>
        <w:pStyle w:val="Heading2"/>
      </w:pPr>
      <w:r>
        <w:lastRenderedPageBreak/>
        <w:t>Handover while the UE is monitoring CHO condition(s)</w:t>
      </w:r>
    </w:p>
    <w:p w14:paraId="1BFA3DC6" w14:textId="77777777" w:rsidR="006B2BB6" w:rsidRDefault="006B2BB6" w:rsidP="006B2BB6">
      <w:pPr>
        <w:rPr>
          <w:lang w:val="en-GB" w:eastAsia="zh-CN"/>
        </w:rPr>
      </w:pPr>
      <w:r>
        <w:rPr>
          <w:lang w:val="en-GB" w:eastAsia="zh-CN"/>
        </w:rPr>
        <w:t>In NR reconfiguration with sync, measurement configuration/reporting and handovers are independent procedures specified in RRC, even if measurement configuration/reporting may be used by the network to assist handover decisions. It seems obvious that the same principle is considered for CHO and measurement configuration/reporting.</w:t>
      </w:r>
    </w:p>
    <w:p w14:paraId="62E43119" w14:textId="65FEE41B" w:rsidR="006B2BB6" w:rsidRPr="00113C31" w:rsidRDefault="006B2BB6" w:rsidP="006B2BB6">
      <w:pPr>
        <w:pStyle w:val="Observation"/>
        <w:ind w:left="1701" w:hanging="1701"/>
      </w:pPr>
      <w:r>
        <w:t>Measurement reporting and CHO are independent RRC procedures.</w:t>
      </w:r>
    </w:p>
    <w:p w14:paraId="1418F528" w14:textId="77777777" w:rsidR="006B2BB6" w:rsidRDefault="006B2BB6" w:rsidP="006B2BB6">
      <w:pPr>
        <w:pStyle w:val="Doc-title"/>
      </w:pPr>
    </w:p>
    <w:p w14:paraId="0E6638E5" w14:textId="673C6C70" w:rsidR="006B2BB6" w:rsidRPr="00D6384F" w:rsidRDefault="006B2BB6" w:rsidP="006B2BB6">
      <w:pPr>
        <w:pStyle w:val="Doc-title"/>
      </w:pPr>
      <w:r>
        <w:t>In RAN2#105bis in Xi’an, the following has been agreed concerning CHO in NR:</w:t>
      </w:r>
    </w:p>
    <w:p w14:paraId="02A170C1" w14:textId="77777777" w:rsidR="006B2BB6" w:rsidRPr="00D6384F" w:rsidRDefault="006B2BB6" w:rsidP="006B2BB6">
      <w:pPr>
        <w:pStyle w:val="Doc-text2"/>
      </w:pPr>
    </w:p>
    <w:p w14:paraId="066F3B23"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Agreements</w:t>
      </w:r>
    </w:p>
    <w:p w14:paraId="743C68D5"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 .</w:t>
      </w:r>
    </w:p>
    <w:p w14:paraId="4C8EB046"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90D568F"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5966B5">
        <w:rPr>
          <w:highlight w:val="yellow"/>
        </w:rPr>
        <w:t>e/ The baseline operation for Conditional HO assumes the source RAN remains responsible for RRC until UE successfully sends RRC Reconfiguration Complete message to target RAN.</w:t>
      </w:r>
      <w:r w:rsidRPr="00D6384F">
        <w:t xml:space="preserve"> </w:t>
      </w:r>
    </w:p>
    <w:p w14:paraId="2FBE595B"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xml:space="preserve">. . . </w:t>
      </w:r>
    </w:p>
    <w:p w14:paraId="6B5A0BD2" w14:textId="77777777" w:rsidR="006B2BB6" w:rsidRDefault="006B2BB6" w:rsidP="00471D1E">
      <w:pPr>
        <w:rPr>
          <w:lang w:val="en-GB" w:eastAsia="zh-CN"/>
        </w:rPr>
      </w:pPr>
    </w:p>
    <w:p w14:paraId="45F0A79C" w14:textId="75AFA115" w:rsidR="00471D1E" w:rsidRDefault="006B2BB6" w:rsidP="00471D1E">
      <w:pPr>
        <w:rPr>
          <w:lang w:val="en-GB" w:eastAsia="zh-CN"/>
        </w:rPr>
      </w:pPr>
      <w:r>
        <w:rPr>
          <w:lang w:val="en-GB" w:eastAsia="zh-CN"/>
        </w:rPr>
        <w:t xml:space="preserve">Hence, the source remains responsible for the UE </w:t>
      </w:r>
      <w:r w:rsidR="002B444D">
        <w:rPr>
          <w:lang w:val="en-GB" w:eastAsia="zh-CN"/>
        </w:rPr>
        <w:t xml:space="preserve">while the UE monitors CHO triggering conditions. And, consequently, </w:t>
      </w:r>
      <w:r w:rsidR="00471D1E">
        <w:rPr>
          <w:lang w:val="en-GB" w:eastAsia="zh-CN"/>
        </w:rPr>
        <w:t>it should be possible that while the UE monitors CHO triggering conditions, requiring the UE to perform measurements, the UE is also performing RRM measurements configured by the network and possibly triggering measurement reports.</w:t>
      </w:r>
      <w:r w:rsidR="0001313B">
        <w:rPr>
          <w:lang w:val="en-GB" w:eastAsia="zh-CN"/>
        </w:rPr>
        <w:t xml:space="preserve"> That may be useful in different manners such as </w:t>
      </w:r>
      <w:r w:rsidR="000F46F9">
        <w:rPr>
          <w:lang w:val="en-GB" w:eastAsia="zh-CN"/>
        </w:rPr>
        <w:t>allowing the network to re-configure CHO (e.g. add/remove cells and/or modify CHO configurations) or to trigger a handover.</w:t>
      </w:r>
    </w:p>
    <w:p w14:paraId="089EE7AF" w14:textId="0F9FDB86" w:rsidR="00471D1E" w:rsidRPr="000F46F9" w:rsidRDefault="00372D01" w:rsidP="00471D1E">
      <w:pPr>
        <w:pStyle w:val="Proposal"/>
        <w:tabs>
          <w:tab w:val="clear" w:pos="1304"/>
        </w:tabs>
        <w:ind w:left="1701" w:hanging="1701"/>
      </w:pPr>
      <w:r>
        <w:t xml:space="preserve">UE </w:t>
      </w:r>
      <w:r w:rsidR="008751B6">
        <w:t xml:space="preserve">may </w:t>
      </w:r>
      <w:r w:rsidR="00625BE8">
        <w:t xml:space="preserve">send </w:t>
      </w:r>
      <w:r>
        <w:t>measurement reports</w:t>
      </w:r>
      <w:r w:rsidR="00625BE8">
        <w:t xml:space="preserve"> </w:t>
      </w:r>
      <w:r>
        <w:t xml:space="preserve">while monitoring CHO </w:t>
      </w:r>
      <w:r w:rsidR="0001313B">
        <w:t>triggering conditions</w:t>
      </w:r>
      <w:r w:rsidRPr="00A81C20">
        <w:t>.</w:t>
      </w:r>
    </w:p>
    <w:p w14:paraId="21C7F153" w14:textId="77777777" w:rsidR="006B2BB6" w:rsidRDefault="006B2BB6" w:rsidP="005966B5">
      <w:pPr>
        <w:pStyle w:val="Doc-title"/>
      </w:pPr>
    </w:p>
    <w:p w14:paraId="532AE191" w14:textId="71AAAEA7" w:rsidR="00471D1E" w:rsidRDefault="005966B5" w:rsidP="00471D1E">
      <w:pPr>
        <w:rPr>
          <w:lang w:val="en-GB" w:eastAsia="zh-CN"/>
        </w:rPr>
      </w:pPr>
      <w:r>
        <w:rPr>
          <w:lang w:val="en-GB" w:eastAsia="zh-CN"/>
        </w:rPr>
        <w:t xml:space="preserve">Hence, thanks to that and to measurement reports possibly sent while the UE monitors CHO triggering conditions, the </w:t>
      </w:r>
      <w:r w:rsidR="00471D1E">
        <w:rPr>
          <w:lang w:val="en-GB" w:eastAsia="zh-CN"/>
        </w:rPr>
        <w:t xml:space="preserve">network </w:t>
      </w:r>
      <w:r w:rsidR="00625BE8">
        <w:rPr>
          <w:lang w:val="en-GB" w:eastAsia="zh-CN"/>
        </w:rPr>
        <w:t xml:space="preserve">could </w:t>
      </w:r>
      <w:r w:rsidR="00471D1E">
        <w:rPr>
          <w:lang w:val="en-GB" w:eastAsia="zh-CN"/>
        </w:rPr>
        <w:t xml:space="preserve">identify new candidate cells for </w:t>
      </w:r>
      <w:r w:rsidR="00625BE8">
        <w:rPr>
          <w:lang w:val="en-GB" w:eastAsia="zh-CN"/>
        </w:rPr>
        <w:t xml:space="preserve">CHO </w:t>
      </w:r>
      <w:r w:rsidR="00471D1E">
        <w:rPr>
          <w:lang w:val="en-GB" w:eastAsia="zh-CN"/>
        </w:rPr>
        <w:t xml:space="preserve">or simply keep trying to trigger an ordinary </w:t>
      </w:r>
      <w:r w:rsidR="00625BE8">
        <w:rPr>
          <w:lang w:val="en-GB" w:eastAsia="zh-CN"/>
        </w:rPr>
        <w:t>HO</w:t>
      </w:r>
      <w:r w:rsidR="00471D1E">
        <w:rPr>
          <w:lang w:val="en-GB" w:eastAsia="zh-CN"/>
        </w:rPr>
        <w:t xml:space="preserve">. </w:t>
      </w:r>
      <w:r w:rsidR="00B316D9">
        <w:rPr>
          <w:lang w:val="en-GB" w:eastAsia="zh-CN"/>
        </w:rPr>
        <w:t xml:space="preserve">CHO </w:t>
      </w:r>
      <w:r w:rsidR="00471D1E">
        <w:rPr>
          <w:lang w:val="en-GB" w:eastAsia="zh-CN"/>
        </w:rPr>
        <w:t>will typically be triggered when radio conditions of a neighbour cell become significantly better than the source cell, hence, the network may decide to trigger a handover to a UE that has been configured with CHO configuration (i.e. UE that is monitoring CHO trigger conditions).</w:t>
      </w:r>
      <w:r w:rsidR="00625BE8">
        <w:rPr>
          <w:lang w:val="en-GB" w:eastAsia="zh-CN"/>
        </w:rPr>
        <w:t xml:space="preserve"> Or, the network may want to trigger inter-frequency HOs for other reasons e.g. load balancing.</w:t>
      </w:r>
    </w:p>
    <w:p w14:paraId="3BFB1F0D" w14:textId="21EF26AE" w:rsidR="0095421C" w:rsidRDefault="0095421C" w:rsidP="00471D1E">
      <w:pPr>
        <w:rPr>
          <w:lang w:val="en-GB" w:eastAsia="zh-CN"/>
        </w:rPr>
      </w:pPr>
      <w:r>
        <w:rPr>
          <w:lang w:val="en-GB" w:eastAsia="zh-CN"/>
        </w:rPr>
        <w:t>The network may e.g. have predicted the UE to move in a different direction than it actually did. As the legacy handover reflects the reality and the conditional handover only a prediction, a legacy handover should be executed when triggered independently of any CHO configuration.</w:t>
      </w:r>
    </w:p>
    <w:p w14:paraId="19309979" w14:textId="18F7D6EA" w:rsidR="00625BE8" w:rsidRPr="00625BE8" w:rsidRDefault="00951795" w:rsidP="00471D1E">
      <w:pPr>
        <w:pStyle w:val="Proposal"/>
        <w:tabs>
          <w:tab w:val="clear" w:pos="1304"/>
        </w:tabs>
        <w:ind w:left="1701" w:hanging="1701"/>
      </w:pPr>
      <w:r>
        <w:t xml:space="preserve">Upon receiving a HO </w:t>
      </w:r>
      <w:r w:rsidR="00625BE8">
        <w:t>command while monitoring CHO triggering conditions</w:t>
      </w:r>
      <w:r>
        <w:t xml:space="preserve"> the UE executes the HO according to the received command</w:t>
      </w:r>
      <w:r w:rsidR="00625BE8">
        <w:t>.</w:t>
      </w:r>
    </w:p>
    <w:p w14:paraId="4AC6D187" w14:textId="77777777" w:rsidR="0095421C" w:rsidRDefault="0095421C" w:rsidP="00471D1E">
      <w:pPr>
        <w:tabs>
          <w:tab w:val="left" w:pos="5793"/>
        </w:tabs>
        <w:rPr>
          <w:lang w:val="en-GB" w:eastAsia="zh-CN"/>
        </w:rPr>
      </w:pPr>
    </w:p>
    <w:p w14:paraId="2C04A340" w14:textId="522AB0A0" w:rsidR="00C97193" w:rsidRDefault="00951795" w:rsidP="00471D1E">
      <w:pPr>
        <w:tabs>
          <w:tab w:val="left" w:pos="5793"/>
        </w:tabs>
        <w:rPr>
          <w:lang w:val="en-GB" w:eastAsia="zh-CN"/>
        </w:rPr>
      </w:pPr>
      <w:r>
        <w:rPr>
          <w:lang w:val="en-GB" w:eastAsia="zh-CN"/>
        </w:rPr>
        <w:t xml:space="preserve">Upon the reception of an ordinary handover command the UE should execute the handover according to the received configuration, even if it is monitoring CHO triggering conditions. One remaining question is how to handle the stored CHO configurations when the UE receives a HO command while </w:t>
      </w:r>
      <w:r w:rsidRPr="00951795">
        <w:rPr>
          <w:lang w:val="en-GB" w:eastAsia="zh-CN"/>
        </w:rPr>
        <w:t>monitoring CHO triggering conditions</w:t>
      </w:r>
      <w:r w:rsidR="00C97193">
        <w:rPr>
          <w:lang w:val="en-GB" w:eastAsia="zh-CN"/>
        </w:rPr>
        <w:t>.</w:t>
      </w:r>
    </w:p>
    <w:p w14:paraId="4060659B" w14:textId="5DFC1D80" w:rsidR="00471D1E" w:rsidRDefault="00C97193" w:rsidP="00471D1E">
      <w:pPr>
        <w:tabs>
          <w:tab w:val="left" w:pos="5793"/>
        </w:tabs>
        <w:rPr>
          <w:lang w:val="en-GB" w:eastAsia="zh-CN"/>
        </w:rPr>
      </w:pPr>
      <w:r>
        <w:rPr>
          <w:lang w:val="en-GB" w:eastAsia="zh-CN"/>
        </w:rPr>
        <w:lastRenderedPageBreak/>
        <w:t xml:space="preserve">One </w:t>
      </w:r>
      <w:r w:rsidR="005966B5">
        <w:rPr>
          <w:lang w:val="en-GB" w:eastAsia="zh-CN"/>
        </w:rPr>
        <w:t xml:space="preserve">solution is </w:t>
      </w:r>
      <w:r w:rsidR="00530A9A">
        <w:rPr>
          <w:lang w:val="en-GB" w:eastAsia="zh-CN"/>
        </w:rPr>
        <w:t xml:space="preserve">that </w:t>
      </w:r>
      <w:r w:rsidR="00471D1E">
        <w:rPr>
          <w:lang w:val="en-GB" w:eastAsia="zh-CN"/>
        </w:rPr>
        <w:t xml:space="preserve">the network first sends a message to the UE indicating that the UE shall release the CHO configurations to only then send to the UE an </w:t>
      </w:r>
      <w:r w:rsidR="00471D1E" w:rsidRPr="00DD38C9">
        <w:rPr>
          <w:i/>
          <w:lang w:val="en-GB" w:eastAsia="zh-CN"/>
        </w:rPr>
        <w:t>RRCReconfiguration</w:t>
      </w:r>
      <w:r w:rsidR="00471D1E">
        <w:rPr>
          <w:lang w:val="en-GB" w:eastAsia="zh-CN"/>
        </w:rPr>
        <w:t xml:space="preserve"> with </w:t>
      </w:r>
      <w:r w:rsidR="00530A9A">
        <w:rPr>
          <w:i/>
          <w:lang w:val="en-GB" w:eastAsia="zh-CN"/>
        </w:rPr>
        <w:t>reconfigurationWithSync</w:t>
      </w:r>
      <w:r w:rsidR="00530A9A">
        <w:rPr>
          <w:lang w:val="en-GB" w:eastAsia="zh-CN"/>
        </w:rPr>
        <w:t xml:space="preserve"> (legacy HO command). </w:t>
      </w:r>
      <w:r w:rsidR="00471D1E">
        <w:rPr>
          <w:lang w:val="en-GB" w:eastAsia="zh-CN"/>
        </w:rPr>
        <w:t xml:space="preserve">Or, in case the CHO is configured </w:t>
      </w:r>
      <w:r w:rsidR="00565E76">
        <w:rPr>
          <w:lang w:val="en-GB" w:eastAsia="zh-CN"/>
        </w:rPr>
        <w:t xml:space="preserve">with </w:t>
      </w:r>
      <w:r w:rsidR="00471D1E">
        <w:rPr>
          <w:lang w:val="en-GB" w:eastAsia="zh-CN"/>
        </w:rPr>
        <w:t>a</w:t>
      </w:r>
      <w:r w:rsidR="00565E76">
        <w:rPr>
          <w:lang w:val="en-GB" w:eastAsia="zh-CN"/>
        </w:rPr>
        <w:t xml:space="preserve"> new IE within </w:t>
      </w:r>
      <w:r w:rsidR="00471D1E" w:rsidRPr="00530A9A">
        <w:rPr>
          <w:i/>
          <w:lang w:val="en-GB" w:eastAsia="zh-CN"/>
        </w:rPr>
        <w:t>RRCReconfiguration</w:t>
      </w:r>
      <w:r w:rsidR="00471D1E">
        <w:rPr>
          <w:lang w:val="en-GB" w:eastAsia="zh-CN"/>
        </w:rPr>
        <w:t xml:space="preserve">, one would define the order of processing different fields (i.e. first removing CHO configurations to then apply the remaining of the </w:t>
      </w:r>
      <w:r w:rsidR="00471D1E" w:rsidRPr="00530A9A">
        <w:rPr>
          <w:i/>
          <w:lang w:val="en-GB" w:eastAsia="zh-CN"/>
        </w:rPr>
        <w:t>RRCReconfiguration</w:t>
      </w:r>
      <w:r w:rsidR="00471D1E">
        <w:rPr>
          <w:lang w:val="en-GB" w:eastAsia="zh-CN"/>
        </w:rPr>
        <w:t xml:space="preserve"> prepared by target).</w:t>
      </w:r>
    </w:p>
    <w:p w14:paraId="4D26C43F" w14:textId="7C16C3FD" w:rsidR="00471D1E" w:rsidRDefault="00471D1E" w:rsidP="00471D1E">
      <w:pPr>
        <w:rPr>
          <w:lang w:val="en-GB" w:eastAsia="zh-CN"/>
        </w:rPr>
      </w:pPr>
      <w:r>
        <w:rPr>
          <w:lang w:val="en-GB" w:eastAsia="zh-CN"/>
        </w:rPr>
        <w:t xml:space="preserve">In our view, both approaches </w:t>
      </w:r>
      <w:r w:rsidR="00530A9A">
        <w:rPr>
          <w:lang w:val="en-GB" w:eastAsia="zh-CN"/>
        </w:rPr>
        <w:t xml:space="preserve">seem </w:t>
      </w:r>
      <w:r>
        <w:rPr>
          <w:lang w:val="en-GB" w:eastAsia="zh-CN"/>
        </w:rPr>
        <w:t xml:space="preserve">complicated, and it is simpler to in that case rely on the UE releasing CHO configurations upon a successful handover execution as </w:t>
      </w:r>
      <w:r w:rsidR="005B1A1E">
        <w:rPr>
          <w:lang w:val="en-GB" w:eastAsia="zh-CN"/>
        </w:rPr>
        <w:t xml:space="preserve">most likely </w:t>
      </w:r>
      <w:r>
        <w:rPr>
          <w:lang w:val="en-GB" w:eastAsia="zh-CN"/>
        </w:rPr>
        <w:t>a new evaluation needs to be done in the new cell also for this case.</w:t>
      </w:r>
    </w:p>
    <w:p w14:paraId="63439607" w14:textId="587CD507" w:rsidR="00471D1E" w:rsidRDefault="00471D1E" w:rsidP="00471D1E">
      <w:pPr>
        <w:pStyle w:val="Proposal"/>
        <w:tabs>
          <w:tab w:val="clear" w:pos="1304"/>
        </w:tabs>
        <w:ind w:left="1701" w:hanging="1701"/>
      </w:pPr>
      <w:r>
        <w:t xml:space="preserve">Upon a successful HO execution while the UE is monitoring CHO, the UE releases </w:t>
      </w:r>
      <w:r w:rsidR="00C97193">
        <w:t xml:space="preserve">all stored </w:t>
      </w:r>
      <w:r>
        <w:t>CHO configurations</w:t>
      </w:r>
      <w:r w:rsidRPr="00A81C20">
        <w:t>.</w:t>
      </w:r>
    </w:p>
    <w:p w14:paraId="32DF6F06" w14:textId="77777777" w:rsidR="00471D1E" w:rsidRDefault="00471D1E" w:rsidP="00471D1E">
      <w:pPr>
        <w:rPr>
          <w:b/>
          <w:lang w:val="en-GB" w:eastAsia="zh-CN"/>
        </w:rPr>
      </w:pPr>
    </w:p>
    <w:p w14:paraId="4585FF09" w14:textId="60B0FF6A" w:rsidR="00272FEA" w:rsidRPr="0095421C" w:rsidRDefault="00471D1E" w:rsidP="005C1525">
      <w:pPr>
        <w:rPr>
          <w:lang w:val="en-GB" w:eastAsia="zh-CN"/>
        </w:rPr>
      </w:pPr>
      <w:r>
        <w:rPr>
          <w:lang w:val="en-GB" w:eastAsia="zh-CN"/>
        </w:rPr>
        <w:t xml:space="preserve">Failure cases will be treated in another contribution e.g. when the UE receives the </w:t>
      </w:r>
      <w:r w:rsidRPr="00910009">
        <w:rPr>
          <w:i/>
          <w:lang w:val="en-GB" w:eastAsia="zh-CN"/>
        </w:rPr>
        <w:t>RRCReconfiguration</w:t>
      </w:r>
      <w:r>
        <w:rPr>
          <w:lang w:val="en-GB" w:eastAsia="zh-CN"/>
        </w:rPr>
        <w:t xml:space="preserve"> with </w:t>
      </w:r>
      <w:r w:rsidRPr="00910009">
        <w:rPr>
          <w:i/>
          <w:lang w:val="en-GB" w:eastAsia="zh-CN"/>
        </w:rPr>
        <w:t>reconfigurationWithSync</w:t>
      </w:r>
      <w:r>
        <w:rPr>
          <w:lang w:val="en-GB" w:eastAsia="zh-CN"/>
        </w:rPr>
        <w:t xml:space="preserve"> while the UE monitors CHO conditions and, upon accessing the target cell the UE fails (e.g. expiry of T304).</w:t>
      </w:r>
    </w:p>
    <w:p w14:paraId="372318D3" w14:textId="5F583BAA" w:rsidR="009D725A" w:rsidRDefault="009D725A" w:rsidP="00C30004">
      <w:pPr>
        <w:pStyle w:val="Heading1"/>
      </w:pPr>
      <w:bookmarkStart w:id="2" w:name="_Toc242573360"/>
      <w:r w:rsidRPr="00C30004">
        <w:t>Summary</w:t>
      </w:r>
      <w:bookmarkEnd w:id="2"/>
    </w:p>
    <w:p w14:paraId="587C178A" w14:textId="6471C271" w:rsidR="00EA3C8E" w:rsidRDefault="005552F0" w:rsidP="001E79FB">
      <w:bookmarkStart w:id="3" w:name="_Toc242573361"/>
      <w:r>
        <w:t>RAN2 is kindly asked to</w:t>
      </w:r>
      <w:r w:rsidR="00063686">
        <w:t xml:space="preserve"> discuss the following</w:t>
      </w:r>
      <w:r w:rsidR="009F765E">
        <w:t xml:space="preserve"> </w:t>
      </w:r>
      <w:r w:rsidR="00881439">
        <w:t xml:space="preserve">observations and </w:t>
      </w:r>
      <w:r w:rsidR="009F765E">
        <w:t>proposal</w:t>
      </w:r>
      <w:r w:rsidR="004C69AA">
        <w:t>s</w:t>
      </w:r>
      <w:r w:rsidR="00063686">
        <w:t>:</w:t>
      </w:r>
    </w:p>
    <w:p w14:paraId="31BA4FF6" w14:textId="63D2FEF4" w:rsidR="003F45E2" w:rsidRDefault="003F45E2" w:rsidP="003F45E2">
      <w:pPr>
        <w:pStyle w:val="Proposal"/>
        <w:numPr>
          <w:ilvl w:val="0"/>
          <w:numId w:val="47"/>
        </w:numPr>
        <w:tabs>
          <w:tab w:val="clear" w:pos="1304"/>
        </w:tabs>
      </w:pPr>
      <w:r>
        <w:t>UE may send measurement reports while monitoring CHO triggering conditions</w:t>
      </w:r>
      <w:r w:rsidRPr="00A81C20">
        <w:t>.</w:t>
      </w:r>
    </w:p>
    <w:p w14:paraId="626E12F4" w14:textId="77777777" w:rsidR="003F45E2" w:rsidRDefault="003F45E2" w:rsidP="003F45E2">
      <w:pPr>
        <w:pStyle w:val="Proposal"/>
      </w:pPr>
      <w:r w:rsidRPr="003F45E2">
        <w:t>Upon receiving a HO command while monitoring CHO triggering conditions the UE executes the HO according to the received command.</w:t>
      </w:r>
    </w:p>
    <w:p w14:paraId="6AE5CBD3" w14:textId="6AFF6261" w:rsidR="003F45E2" w:rsidRDefault="003F45E2" w:rsidP="003F45E2">
      <w:pPr>
        <w:pStyle w:val="Proposal"/>
      </w:pPr>
      <w:r>
        <w:t>Upon a successful HO execution while the UE is monitoring CHO, the UE releases all stored CHO configurations</w:t>
      </w:r>
      <w:r w:rsidRPr="00A81C20">
        <w:t>.</w:t>
      </w:r>
    </w:p>
    <w:p w14:paraId="36D2311E" w14:textId="77777777" w:rsidR="009D725A" w:rsidRDefault="009D725A" w:rsidP="009D725A">
      <w:pPr>
        <w:pStyle w:val="Heading1"/>
        <w:rPr>
          <w:noProof/>
        </w:rPr>
      </w:pPr>
      <w:r>
        <w:rPr>
          <w:noProof/>
        </w:rPr>
        <w:t>References</w:t>
      </w:r>
      <w:bookmarkEnd w:id="3"/>
    </w:p>
    <w:p w14:paraId="38B31A59" w14:textId="68C9CCDE" w:rsidR="00130C1D" w:rsidRDefault="00F660E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RP-181433</w:t>
      </w:r>
      <w:r w:rsidR="005044CC">
        <w:rPr>
          <w:rFonts w:cs="Arial"/>
          <w:lang w:val="de-DE"/>
        </w:rPr>
        <w:t xml:space="preserve">, Work Item on </w:t>
      </w:r>
      <w:r>
        <w:rPr>
          <w:rFonts w:cs="Arial"/>
          <w:lang w:val="de-DE"/>
        </w:rPr>
        <w:t>NR</w:t>
      </w:r>
      <w:r w:rsidR="0086488F">
        <w:rPr>
          <w:rFonts w:cs="Arial"/>
          <w:lang w:val="de-DE"/>
        </w:rPr>
        <w:t xml:space="preserve"> Mobility Enhancements</w:t>
      </w:r>
      <w:r w:rsidR="005044CC">
        <w:rPr>
          <w:rFonts w:cs="Arial"/>
          <w:lang w:val="de-DE"/>
        </w:rPr>
        <w:t xml:space="preserve">, </w:t>
      </w:r>
      <w:bookmarkEnd w:id="4"/>
      <w:bookmarkEnd w:id="5"/>
      <w:r>
        <w:rPr>
          <w:rFonts w:cs="Arial"/>
          <w:lang w:val="de-DE"/>
        </w:rPr>
        <w:t>Intel Corporation</w:t>
      </w:r>
    </w:p>
    <w:p w14:paraId="57FFA4D8" w14:textId="681E999C" w:rsidR="000170D9" w:rsidRPr="009D6B6A" w:rsidRDefault="003A43EA" w:rsidP="009D6B6A">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534984224"/>
      <w:bookmarkStart w:id="7" w:name="_Ref536781318"/>
      <w:r>
        <w:rPr>
          <w:rFonts w:cs="Arial"/>
          <w:lang w:val="de-DE"/>
        </w:rPr>
        <w:t>R2-1906210</w:t>
      </w:r>
      <w:r w:rsidR="000170D9">
        <w:rPr>
          <w:rFonts w:cs="Arial"/>
          <w:lang w:val="de-DE"/>
        </w:rPr>
        <w:t>, Config</w:t>
      </w:r>
      <w:r w:rsidR="00D57045">
        <w:rPr>
          <w:rFonts w:cs="Arial"/>
          <w:lang w:val="de-DE"/>
        </w:rPr>
        <w:t>ur</w:t>
      </w:r>
      <w:r w:rsidR="000170D9">
        <w:rPr>
          <w:rFonts w:cs="Arial"/>
          <w:lang w:val="de-DE"/>
        </w:rPr>
        <w:t>ation</w:t>
      </w:r>
      <w:r w:rsidR="007651A1">
        <w:rPr>
          <w:rFonts w:cs="Arial"/>
          <w:lang w:val="de-DE"/>
        </w:rPr>
        <w:t xml:space="preserve"> of conditional handover</w:t>
      </w:r>
      <w:bookmarkEnd w:id="6"/>
      <w:bookmarkEnd w:id="7"/>
      <w:r>
        <w:rPr>
          <w:rFonts w:cs="Arial"/>
          <w:lang w:val="de-DE"/>
        </w:rPr>
        <w:t xml:space="preserve"> in NR</w:t>
      </w:r>
    </w:p>
    <w:sectPr w:rsidR="000170D9" w:rsidRPr="009D6B6A"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30B06" w14:textId="77777777" w:rsidR="00C963CF" w:rsidRDefault="00C963CF">
      <w:r>
        <w:separator/>
      </w:r>
    </w:p>
  </w:endnote>
  <w:endnote w:type="continuationSeparator" w:id="0">
    <w:p w14:paraId="4111AF00" w14:textId="77777777" w:rsidR="00C963CF" w:rsidRDefault="00C9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72DB7" w14:textId="77777777" w:rsidR="00C963CF" w:rsidRDefault="00C963CF">
      <w:r>
        <w:separator/>
      </w:r>
    </w:p>
  </w:footnote>
  <w:footnote w:type="continuationSeparator" w:id="0">
    <w:p w14:paraId="24FF06DE" w14:textId="77777777" w:rsidR="00C963CF" w:rsidRDefault="00C96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13B"/>
    <w:rsid w:val="0001345F"/>
    <w:rsid w:val="00013C93"/>
    <w:rsid w:val="000142E4"/>
    <w:rsid w:val="000156A7"/>
    <w:rsid w:val="00015FCF"/>
    <w:rsid w:val="00016064"/>
    <w:rsid w:val="00016917"/>
    <w:rsid w:val="00016D08"/>
    <w:rsid w:val="000170D9"/>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59F4"/>
    <w:rsid w:val="000362CF"/>
    <w:rsid w:val="00036973"/>
    <w:rsid w:val="00037FCD"/>
    <w:rsid w:val="0004162A"/>
    <w:rsid w:val="000443F4"/>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6C12"/>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FE6"/>
    <w:rsid w:val="0009537D"/>
    <w:rsid w:val="00095D0B"/>
    <w:rsid w:val="0009603A"/>
    <w:rsid w:val="000967EE"/>
    <w:rsid w:val="00096F4C"/>
    <w:rsid w:val="0009736D"/>
    <w:rsid w:val="0009780E"/>
    <w:rsid w:val="000979A7"/>
    <w:rsid w:val="00097F77"/>
    <w:rsid w:val="000A04A4"/>
    <w:rsid w:val="000A1650"/>
    <w:rsid w:val="000A20E0"/>
    <w:rsid w:val="000A2FB2"/>
    <w:rsid w:val="000A3340"/>
    <w:rsid w:val="000A3608"/>
    <w:rsid w:val="000A360E"/>
    <w:rsid w:val="000A43D4"/>
    <w:rsid w:val="000A4E20"/>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4E4"/>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46F9"/>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1D9"/>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52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2E1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319"/>
    <w:rsid w:val="001924EE"/>
    <w:rsid w:val="00192610"/>
    <w:rsid w:val="001929E3"/>
    <w:rsid w:val="00192CDF"/>
    <w:rsid w:val="00192EBA"/>
    <w:rsid w:val="0019449D"/>
    <w:rsid w:val="00194E7F"/>
    <w:rsid w:val="00195BC6"/>
    <w:rsid w:val="001A1061"/>
    <w:rsid w:val="001A1189"/>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8DA"/>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B15"/>
    <w:rsid w:val="00202DDC"/>
    <w:rsid w:val="002065BE"/>
    <w:rsid w:val="002068E7"/>
    <w:rsid w:val="002114D0"/>
    <w:rsid w:val="00211629"/>
    <w:rsid w:val="002124F8"/>
    <w:rsid w:val="00212767"/>
    <w:rsid w:val="002129BC"/>
    <w:rsid w:val="00214013"/>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30284"/>
    <w:rsid w:val="00230F9F"/>
    <w:rsid w:val="00231705"/>
    <w:rsid w:val="00231FF9"/>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32D"/>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444D"/>
    <w:rsid w:val="002B57D4"/>
    <w:rsid w:val="002B7789"/>
    <w:rsid w:val="002C0B68"/>
    <w:rsid w:val="002C1EF6"/>
    <w:rsid w:val="002C2211"/>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7265"/>
    <w:rsid w:val="002F021F"/>
    <w:rsid w:val="002F0DF7"/>
    <w:rsid w:val="002F2A0B"/>
    <w:rsid w:val="002F3144"/>
    <w:rsid w:val="002F3825"/>
    <w:rsid w:val="002F3BF2"/>
    <w:rsid w:val="002F3EAA"/>
    <w:rsid w:val="002F453A"/>
    <w:rsid w:val="002F4578"/>
    <w:rsid w:val="002F5536"/>
    <w:rsid w:val="002F703D"/>
    <w:rsid w:val="002F78AE"/>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9CF"/>
    <w:rsid w:val="00372C5B"/>
    <w:rsid w:val="00372D01"/>
    <w:rsid w:val="0037306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CBE"/>
    <w:rsid w:val="00395015"/>
    <w:rsid w:val="003A08C5"/>
    <w:rsid w:val="003A0DA3"/>
    <w:rsid w:val="003A21ED"/>
    <w:rsid w:val="003A3B0D"/>
    <w:rsid w:val="003A3D43"/>
    <w:rsid w:val="003A43EA"/>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729"/>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45E2"/>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1EDE"/>
    <w:rsid w:val="00452AFC"/>
    <w:rsid w:val="00454461"/>
    <w:rsid w:val="00455C91"/>
    <w:rsid w:val="00455FAA"/>
    <w:rsid w:val="00460946"/>
    <w:rsid w:val="004613B5"/>
    <w:rsid w:val="0046209C"/>
    <w:rsid w:val="00462AE3"/>
    <w:rsid w:val="00462E26"/>
    <w:rsid w:val="004661AB"/>
    <w:rsid w:val="00467DCD"/>
    <w:rsid w:val="0047097D"/>
    <w:rsid w:val="00470FE6"/>
    <w:rsid w:val="00471BBC"/>
    <w:rsid w:val="00471C34"/>
    <w:rsid w:val="00471D1E"/>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87676"/>
    <w:rsid w:val="00490393"/>
    <w:rsid w:val="00490729"/>
    <w:rsid w:val="00491971"/>
    <w:rsid w:val="004923C4"/>
    <w:rsid w:val="0049285C"/>
    <w:rsid w:val="00492C1C"/>
    <w:rsid w:val="00493EE1"/>
    <w:rsid w:val="0049494A"/>
    <w:rsid w:val="00495BEC"/>
    <w:rsid w:val="00496053"/>
    <w:rsid w:val="00497378"/>
    <w:rsid w:val="00497460"/>
    <w:rsid w:val="00497494"/>
    <w:rsid w:val="004976F2"/>
    <w:rsid w:val="00497B35"/>
    <w:rsid w:val="004A0AD8"/>
    <w:rsid w:val="004A0F9F"/>
    <w:rsid w:val="004A2378"/>
    <w:rsid w:val="004A4331"/>
    <w:rsid w:val="004A4F4A"/>
    <w:rsid w:val="004A5FD9"/>
    <w:rsid w:val="004A7071"/>
    <w:rsid w:val="004B0216"/>
    <w:rsid w:val="004B10DE"/>
    <w:rsid w:val="004B1F8B"/>
    <w:rsid w:val="004B20F3"/>
    <w:rsid w:val="004B2A83"/>
    <w:rsid w:val="004B4D17"/>
    <w:rsid w:val="004B53D8"/>
    <w:rsid w:val="004B5D94"/>
    <w:rsid w:val="004B64BB"/>
    <w:rsid w:val="004B6A12"/>
    <w:rsid w:val="004B6AA1"/>
    <w:rsid w:val="004B6D0B"/>
    <w:rsid w:val="004B7E01"/>
    <w:rsid w:val="004C02CC"/>
    <w:rsid w:val="004C3188"/>
    <w:rsid w:val="004C38C3"/>
    <w:rsid w:val="004C393F"/>
    <w:rsid w:val="004C3C1A"/>
    <w:rsid w:val="004C4DC3"/>
    <w:rsid w:val="004C563D"/>
    <w:rsid w:val="004C6208"/>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243"/>
    <w:rsid w:val="004F2666"/>
    <w:rsid w:val="004F2FC0"/>
    <w:rsid w:val="004F30D0"/>
    <w:rsid w:val="004F3158"/>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5F"/>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A9A"/>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47926"/>
    <w:rsid w:val="0055028B"/>
    <w:rsid w:val="00551677"/>
    <w:rsid w:val="005518EC"/>
    <w:rsid w:val="00552732"/>
    <w:rsid w:val="0055283F"/>
    <w:rsid w:val="005530F9"/>
    <w:rsid w:val="0055331A"/>
    <w:rsid w:val="0055443F"/>
    <w:rsid w:val="0055475D"/>
    <w:rsid w:val="005552F0"/>
    <w:rsid w:val="005557AD"/>
    <w:rsid w:val="00555E44"/>
    <w:rsid w:val="005601E1"/>
    <w:rsid w:val="00560550"/>
    <w:rsid w:val="0056248E"/>
    <w:rsid w:val="005652F6"/>
    <w:rsid w:val="00565E76"/>
    <w:rsid w:val="00566770"/>
    <w:rsid w:val="00566CF0"/>
    <w:rsid w:val="00567EBC"/>
    <w:rsid w:val="00571232"/>
    <w:rsid w:val="00572B24"/>
    <w:rsid w:val="00572EAB"/>
    <w:rsid w:val="0057323D"/>
    <w:rsid w:val="005739F3"/>
    <w:rsid w:val="0057505D"/>
    <w:rsid w:val="005751B7"/>
    <w:rsid w:val="00575222"/>
    <w:rsid w:val="00575E8D"/>
    <w:rsid w:val="00575F99"/>
    <w:rsid w:val="00576DA9"/>
    <w:rsid w:val="00576DFA"/>
    <w:rsid w:val="0057798C"/>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6B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A1E"/>
    <w:rsid w:val="005B1C83"/>
    <w:rsid w:val="005B21FF"/>
    <w:rsid w:val="005B29B3"/>
    <w:rsid w:val="005B4B64"/>
    <w:rsid w:val="005B6FC6"/>
    <w:rsid w:val="005B7D46"/>
    <w:rsid w:val="005B7E9E"/>
    <w:rsid w:val="005C1525"/>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B19"/>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BE8"/>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D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2BB6"/>
    <w:rsid w:val="006B37EF"/>
    <w:rsid w:val="006B4446"/>
    <w:rsid w:val="006B4B67"/>
    <w:rsid w:val="006B50C5"/>
    <w:rsid w:val="006B5848"/>
    <w:rsid w:val="006B59D9"/>
    <w:rsid w:val="006B5B69"/>
    <w:rsid w:val="006B5BD4"/>
    <w:rsid w:val="006B61A1"/>
    <w:rsid w:val="006B6B15"/>
    <w:rsid w:val="006B6DAF"/>
    <w:rsid w:val="006C0348"/>
    <w:rsid w:val="006C0360"/>
    <w:rsid w:val="006C0BD1"/>
    <w:rsid w:val="006C22B0"/>
    <w:rsid w:val="006C43D9"/>
    <w:rsid w:val="006C54DD"/>
    <w:rsid w:val="006C5D32"/>
    <w:rsid w:val="006C5E02"/>
    <w:rsid w:val="006C6230"/>
    <w:rsid w:val="006C6376"/>
    <w:rsid w:val="006C7B62"/>
    <w:rsid w:val="006C7C34"/>
    <w:rsid w:val="006D0AC7"/>
    <w:rsid w:val="006D116C"/>
    <w:rsid w:val="006D21AC"/>
    <w:rsid w:val="006D298B"/>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420"/>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27D7E"/>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51E"/>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237C"/>
    <w:rsid w:val="007A3278"/>
    <w:rsid w:val="007A3924"/>
    <w:rsid w:val="007A43D0"/>
    <w:rsid w:val="007A4B23"/>
    <w:rsid w:val="007A4B3D"/>
    <w:rsid w:val="007A4ED5"/>
    <w:rsid w:val="007A5141"/>
    <w:rsid w:val="007A5469"/>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5E0"/>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1A21"/>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FF2"/>
    <w:rsid w:val="00840FE0"/>
    <w:rsid w:val="00842FC0"/>
    <w:rsid w:val="00843B99"/>
    <w:rsid w:val="008440E1"/>
    <w:rsid w:val="00845C1D"/>
    <w:rsid w:val="008463F0"/>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51B6"/>
    <w:rsid w:val="00876ABB"/>
    <w:rsid w:val="00877981"/>
    <w:rsid w:val="00877E78"/>
    <w:rsid w:val="00881439"/>
    <w:rsid w:val="008815FD"/>
    <w:rsid w:val="0088218C"/>
    <w:rsid w:val="00882C7D"/>
    <w:rsid w:val="00882DC4"/>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4C64"/>
    <w:rsid w:val="00895B54"/>
    <w:rsid w:val="0089695F"/>
    <w:rsid w:val="00896E9D"/>
    <w:rsid w:val="00897841"/>
    <w:rsid w:val="008A1CC3"/>
    <w:rsid w:val="008A3AE5"/>
    <w:rsid w:val="008A3BF7"/>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4682"/>
    <w:rsid w:val="00904FC9"/>
    <w:rsid w:val="009050ED"/>
    <w:rsid w:val="0091202C"/>
    <w:rsid w:val="009131AA"/>
    <w:rsid w:val="009131AE"/>
    <w:rsid w:val="009136CB"/>
    <w:rsid w:val="00913C74"/>
    <w:rsid w:val="00914326"/>
    <w:rsid w:val="00914400"/>
    <w:rsid w:val="00914788"/>
    <w:rsid w:val="0091589E"/>
    <w:rsid w:val="00917494"/>
    <w:rsid w:val="009176D7"/>
    <w:rsid w:val="00920727"/>
    <w:rsid w:val="00920D53"/>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795"/>
    <w:rsid w:val="009518A0"/>
    <w:rsid w:val="0095421C"/>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4B"/>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7B9"/>
    <w:rsid w:val="009D3CC2"/>
    <w:rsid w:val="009D6008"/>
    <w:rsid w:val="009D6B6A"/>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0FAF"/>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09B0"/>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498F"/>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3D"/>
    <w:rsid w:val="00A97F45"/>
    <w:rsid w:val="00AA08F2"/>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3DF0"/>
    <w:rsid w:val="00AE5317"/>
    <w:rsid w:val="00AE55BF"/>
    <w:rsid w:val="00AE57F7"/>
    <w:rsid w:val="00AE6C7E"/>
    <w:rsid w:val="00AF011E"/>
    <w:rsid w:val="00AF03CE"/>
    <w:rsid w:val="00AF188F"/>
    <w:rsid w:val="00AF3703"/>
    <w:rsid w:val="00AF5A2F"/>
    <w:rsid w:val="00AF5EB7"/>
    <w:rsid w:val="00AF6208"/>
    <w:rsid w:val="00AF62A2"/>
    <w:rsid w:val="00AF66B5"/>
    <w:rsid w:val="00AF6E31"/>
    <w:rsid w:val="00B00B08"/>
    <w:rsid w:val="00B0162D"/>
    <w:rsid w:val="00B01B12"/>
    <w:rsid w:val="00B01E6E"/>
    <w:rsid w:val="00B02310"/>
    <w:rsid w:val="00B03B27"/>
    <w:rsid w:val="00B04F39"/>
    <w:rsid w:val="00B05460"/>
    <w:rsid w:val="00B05CF7"/>
    <w:rsid w:val="00B0678B"/>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16D9"/>
    <w:rsid w:val="00B32320"/>
    <w:rsid w:val="00B32652"/>
    <w:rsid w:val="00B3291E"/>
    <w:rsid w:val="00B32A29"/>
    <w:rsid w:val="00B32ACB"/>
    <w:rsid w:val="00B32D25"/>
    <w:rsid w:val="00B32D49"/>
    <w:rsid w:val="00B32DD9"/>
    <w:rsid w:val="00B349CD"/>
    <w:rsid w:val="00B350FE"/>
    <w:rsid w:val="00B353AD"/>
    <w:rsid w:val="00B36107"/>
    <w:rsid w:val="00B362E4"/>
    <w:rsid w:val="00B40385"/>
    <w:rsid w:val="00B4222B"/>
    <w:rsid w:val="00B427FB"/>
    <w:rsid w:val="00B442F3"/>
    <w:rsid w:val="00B4464E"/>
    <w:rsid w:val="00B44951"/>
    <w:rsid w:val="00B44CFE"/>
    <w:rsid w:val="00B45261"/>
    <w:rsid w:val="00B45EC8"/>
    <w:rsid w:val="00B46189"/>
    <w:rsid w:val="00B4626C"/>
    <w:rsid w:val="00B46EB1"/>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11A"/>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BC5"/>
    <w:rsid w:val="00B92FD5"/>
    <w:rsid w:val="00B94181"/>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13DF"/>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D13"/>
    <w:rsid w:val="00BC2FBE"/>
    <w:rsid w:val="00BC33FF"/>
    <w:rsid w:val="00BC46E1"/>
    <w:rsid w:val="00BC51E7"/>
    <w:rsid w:val="00BC5E0D"/>
    <w:rsid w:val="00BC5EB6"/>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1DF"/>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279"/>
    <w:rsid w:val="00C04BF5"/>
    <w:rsid w:val="00C04DC6"/>
    <w:rsid w:val="00C05DF4"/>
    <w:rsid w:val="00C07111"/>
    <w:rsid w:val="00C11761"/>
    <w:rsid w:val="00C126DD"/>
    <w:rsid w:val="00C138A0"/>
    <w:rsid w:val="00C145B6"/>
    <w:rsid w:val="00C15CCD"/>
    <w:rsid w:val="00C17126"/>
    <w:rsid w:val="00C20C76"/>
    <w:rsid w:val="00C20CA4"/>
    <w:rsid w:val="00C20DA7"/>
    <w:rsid w:val="00C228BE"/>
    <w:rsid w:val="00C22AC7"/>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3CF"/>
    <w:rsid w:val="00C96949"/>
    <w:rsid w:val="00C96A72"/>
    <w:rsid w:val="00C97193"/>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24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D7DD5"/>
    <w:rsid w:val="00CE093A"/>
    <w:rsid w:val="00CE0F45"/>
    <w:rsid w:val="00CE1542"/>
    <w:rsid w:val="00CE2951"/>
    <w:rsid w:val="00CE3462"/>
    <w:rsid w:val="00CE373D"/>
    <w:rsid w:val="00CE3816"/>
    <w:rsid w:val="00CE3998"/>
    <w:rsid w:val="00CE4381"/>
    <w:rsid w:val="00CE6446"/>
    <w:rsid w:val="00CF0562"/>
    <w:rsid w:val="00CF15CD"/>
    <w:rsid w:val="00CF17D2"/>
    <w:rsid w:val="00CF1A07"/>
    <w:rsid w:val="00CF1B9A"/>
    <w:rsid w:val="00CF2221"/>
    <w:rsid w:val="00CF22B3"/>
    <w:rsid w:val="00CF2D95"/>
    <w:rsid w:val="00CF45A7"/>
    <w:rsid w:val="00CF45C6"/>
    <w:rsid w:val="00CF4ED7"/>
    <w:rsid w:val="00CF523C"/>
    <w:rsid w:val="00CF5AA5"/>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7D"/>
    <w:rsid w:val="00D17121"/>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045"/>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D1679"/>
    <w:rsid w:val="00DD301D"/>
    <w:rsid w:val="00DD3313"/>
    <w:rsid w:val="00DD36F7"/>
    <w:rsid w:val="00DD379B"/>
    <w:rsid w:val="00DD38C9"/>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55C"/>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5821"/>
    <w:rsid w:val="00E46AF8"/>
    <w:rsid w:val="00E507D9"/>
    <w:rsid w:val="00E513DF"/>
    <w:rsid w:val="00E52130"/>
    <w:rsid w:val="00E5275C"/>
    <w:rsid w:val="00E54DE3"/>
    <w:rsid w:val="00E54EFD"/>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3FC"/>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31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501E"/>
    <w:rsid w:val="00F660E9"/>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5CF"/>
    <w:rsid w:val="00F84BC1"/>
    <w:rsid w:val="00F84F75"/>
    <w:rsid w:val="00F85E4A"/>
    <w:rsid w:val="00F868D5"/>
    <w:rsid w:val="00F87224"/>
    <w:rsid w:val="00F90962"/>
    <w:rsid w:val="00F9288C"/>
    <w:rsid w:val="00F93028"/>
    <w:rsid w:val="00F9498B"/>
    <w:rsid w:val="00F9571E"/>
    <w:rsid w:val="00F95E55"/>
    <w:rsid w:val="00F97131"/>
    <w:rsid w:val="00FA1664"/>
    <w:rsid w:val="00FA1742"/>
    <w:rsid w:val="00FA239A"/>
    <w:rsid w:val="00FA27C0"/>
    <w:rsid w:val="00FA2EDB"/>
    <w:rsid w:val="00FA4143"/>
    <w:rsid w:val="00FA433E"/>
    <w:rsid w:val="00FA5087"/>
    <w:rsid w:val="00FA511C"/>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6C0360"/>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6C036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5NUHHDQN7SK2-1476151046-46948</_dlc_DocId>
    <_dlc_DocIdUrl xmlns="f166a696-7b5b-4ccd-9f0c-ffde0cceec81">
      <Url>https://ericsson.sharepoint.com/sites/star/_layouts/15/DocIdRedir.aspx?ID=5NUHHDQN7SK2-1476151046-46948</Url>
      <Description>5NUHHDQN7SK2-1476151046-46948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BAD77-FF2C-47E8-B966-5430EA6F18E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3D17980-DEE4-478B-A849-EEE66B2C8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0EEA6-E204-4343-8F96-43522BC36F37}">
  <ds:schemaRefs>
    <ds:schemaRef ds:uri="Microsoft.SharePoint.Taxonomy.ContentTypeSync"/>
  </ds:schemaRefs>
</ds:datastoreItem>
</file>

<file path=customXml/itemProps4.xml><?xml version="1.0" encoding="utf-8"?>
<ds:datastoreItem xmlns:ds="http://schemas.openxmlformats.org/officeDocument/2006/customXml" ds:itemID="{ADC9339F-2DAD-4DE1-8787-0FB35F66FC85}">
  <ds:schemaRefs>
    <ds:schemaRef ds:uri="http://schemas.microsoft.com/sharepoint/events"/>
  </ds:schemaRefs>
</ds:datastoreItem>
</file>

<file path=customXml/itemProps5.xml><?xml version="1.0" encoding="utf-8"?>
<ds:datastoreItem xmlns:ds="http://schemas.openxmlformats.org/officeDocument/2006/customXml" ds:itemID="{A2A7DD39-49E5-436B-B5F5-24847B3D21B1}">
  <ds:schemaRefs>
    <ds:schemaRef ds:uri="http://schemas.microsoft.com/sharepoint/v3/contenttype/forms"/>
  </ds:schemaRefs>
</ds:datastoreItem>
</file>

<file path=customXml/itemProps6.xml><?xml version="1.0" encoding="utf-8"?>
<ds:datastoreItem xmlns:ds="http://schemas.openxmlformats.org/officeDocument/2006/customXml" ds:itemID="{55BC547C-5C2C-4590-9AC9-60666705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905</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54</cp:revision>
  <cp:lastPrinted>2019-03-19T10:06:00Z</cp:lastPrinted>
  <dcterms:created xsi:type="dcterms:W3CDTF">2019-03-26T10:50:00Z</dcterms:created>
  <dcterms:modified xsi:type="dcterms:W3CDTF">2019-05-02T19:37:00Z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d92f8465-dac0-4b7e-a195-65185399b0ff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266</vt:lpwstr>
  </property>
</Properties>
</file>